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1" w:rsidRPr="00085241" w:rsidRDefault="00085241" w:rsidP="00781082">
      <w:pPr>
        <w:tabs>
          <w:tab w:val="left" w:pos="1843"/>
        </w:tabs>
        <w:spacing w:after="0" w:line="276" w:lineRule="auto"/>
        <w:jc w:val="both"/>
        <w:rPr>
          <w:rFonts w:ascii="Palatino Linotype" w:hAnsi="Palatino Linotype" w:cs="Tahoma"/>
          <w:b/>
          <w:sz w:val="24"/>
          <w:szCs w:val="24"/>
        </w:rPr>
      </w:pPr>
    </w:p>
    <w:p w:rsidR="00A22273" w:rsidRPr="00A0224B" w:rsidRDefault="00A22273" w:rsidP="00781082">
      <w:pPr>
        <w:tabs>
          <w:tab w:val="left" w:pos="1843"/>
        </w:tabs>
        <w:spacing w:after="0" w:line="276" w:lineRule="auto"/>
        <w:jc w:val="both"/>
        <w:rPr>
          <w:rFonts w:ascii="Palatino Linotype" w:hAnsi="Palatino Linotype" w:cs="Tahoma"/>
          <w:b/>
          <w:sz w:val="10"/>
          <w:szCs w:val="10"/>
        </w:rPr>
      </w:pPr>
    </w:p>
    <w:p w:rsidR="009E0861" w:rsidRPr="000253E5" w:rsidRDefault="009E0861" w:rsidP="0089469D">
      <w:pPr>
        <w:tabs>
          <w:tab w:val="left" w:pos="1843"/>
        </w:tabs>
        <w:spacing w:after="0" w:line="276" w:lineRule="auto"/>
        <w:jc w:val="both"/>
        <w:rPr>
          <w:rFonts w:ascii="Palatino Linotype" w:hAnsi="Palatino Linotype" w:cs="Tahoma"/>
          <w:b/>
        </w:rPr>
      </w:pPr>
      <w:r w:rsidRPr="000253E5">
        <w:rPr>
          <w:rFonts w:ascii="Palatino Linotype" w:hAnsi="Palatino Linotype" w:cs="Tahoma"/>
          <w:b/>
        </w:rPr>
        <w:t xml:space="preserve">VOTO PARTICULAR QUE FORMULA EL COMISIONADO LUIS GUSTAVO PARRA NORIEGA, EN RELACIÓN CON LA RESOLUCIÓN DEL RECURSO DE REVISIÓN </w:t>
      </w:r>
      <w:r w:rsidR="00021F98" w:rsidRPr="000253E5">
        <w:rPr>
          <w:rFonts w:ascii="Palatino Linotype" w:hAnsi="Palatino Linotype" w:cs="Tahoma"/>
          <w:b/>
        </w:rPr>
        <w:t>03728</w:t>
      </w:r>
      <w:r w:rsidR="00DE4452" w:rsidRPr="000253E5">
        <w:rPr>
          <w:rFonts w:ascii="Palatino Linotype" w:hAnsi="Palatino Linotype" w:cs="Tahoma"/>
          <w:b/>
        </w:rPr>
        <w:t>/INFOEM/IP/RR/2018</w:t>
      </w:r>
      <w:r w:rsidRPr="000253E5">
        <w:rPr>
          <w:rFonts w:ascii="Palatino Linotype" w:hAnsi="Palatino Linotype" w:cs="Tahoma"/>
          <w:b/>
          <w:caps/>
        </w:rPr>
        <w:t>,</w:t>
      </w:r>
      <w:r w:rsidRPr="000253E5">
        <w:rPr>
          <w:rFonts w:ascii="Palatino Linotype" w:hAnsi="Palatino Linotype" w:cs="Tahoma"/>
          <w:b/>
        </w:rPr>
        <w:t xml:space="preserve"> PROMOVIDO EN </w:t>
      </w:r>
      <w:r w:rsidR="00792848" w:rsidRPr="000253E5">
        <w:rPr>
          <w:rFonts w:ascii="Palatino Linotype" w:hAnsi="Palatino Linotype" w:cs="Tahoma"/>
          <w:b/>
        </w:rPr>
        <w:t xml:space="preserve">CONTRA </w:t>
      </w:r>
      <w:r w:rsidR="00021F98" w:rsidRPr="000253E5">
        <w:rPr>
          <w:rFonts w:ascii="Palatino Linotype" w:hAnsi="Palatino Linotype" w:cs="Tahoma"/>
          <w:b/>
        </w:rPr>
        <w:t>DEL AYUNTAMIENTO DE TEMOAYA</w:t>
      </w:r>
      <w:r w:rsidR="00A074E7" w:rsidRPr="000253E5">
        <w:rPr>
          <w:rFonts w:ascii="Palatino Linotype" w:hAnsi="Palatino Linotype" w:cs="Tahoma"/>
          <w:b/>
        </w:rPr>
        <w:t>.</w:t>
      </w:r>
    </w:p>
    <w:p w:rsidR="0089469D" w:rsidRPr="000253E5" w:rsidRDefault="0089469D" w:rsidP="0089469D">
      <w:pPr>
        <w:tabs>
          <w:tab w:val="left" w:pos="1843"/>
        </w:tabs>
        <w:spacing w:after="0" w:line="276" w:lineRule="auto"/>
        <w:jc w:val="both"/>
        <w:rPr>
          <w:rFonts w:ascii="Palatino Linotype" w:hAnsi="Palatino Linotype" w:cs="Tahoma"/>
        </w:rPr>
      </w:pPr>
    </w:p>
    <w:p w:rsidR="009E0861" w:rsidRPr="000253E5" w:rsidRDefault="009E0861" w:rsidP="00A462CB">
      <w:pPr>
        <w:spacing w:after="0" w:line="276" w:lineRule="auto"/>
        <w:jc w:val="both"/>
        <w:rPr>
          <w:rFonts w:ascii="Palatino Linotype" w:hAnsi="Palatino Linotype" w:cs="Tahoma"/>
        </w:rPr>
      </w:pPr>
      <w:r w:rsidRPr="000253E5">
        <w:rPr>
          <w:rFonts w:ascii="Palatino Linotype" w:hAnsi="Palatino Linotype" w:cs="Tahoma"/>
        </w:rPr>
        <w:t>En términos de lo dispuesto por el artículo 189, párrafo primero, de la Ley de Transparencia y Acceso a la Información Públi</w:t>
      </w:r>
      <w:bookmarkStart w:id="0" w:name="_GoBack"/>
      <w:bookmarkEnd w:id="0"/>
      <w:r w:rsidRPr="000253E5">
        <w:rPr>
          <w:rFonts w:ascii="Palatino Linotype" w:hAnsi="Palatino Linotype" w:cs="Tahoma"/>
        </w:rPr>
        <w:t xml:space="preserve">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0253E5">
        <w:rPr>
          <w:rFonts w:ascii="Palatino Linotype" w:hAnsi="Palatino Linotype" w:cs="Tahoma"/>
          <w:b/>
        </w:rPr>
        <w:t>Voto Particular</w:t>
      </w:r>
      <w:r w:rsidRPr="000253E5">
        <w:rPr>
          <w:rFonts w:ascii="Palatino Linotype" w:hAnsi="Palatino Linotype" w:cs="Tahoma"/>
        </w:rPr>
        <w:t xml:space="preserve"> por no compartir en su totalidad las consideraciones que sustentan la Resolución del Recurso de Revisión </w:t>
      </w:r>
      <w:r w:rsidR="00A742D1" w:rsidRPr="000253E5">
        <w:rPr>
          <w:rFonts w:ascii="Palatino Linotype" w:hAnsi="Palatino Linotype" w:cs="Tahoma"/>
          <w:b/>
        </w:rPr>
        <w:t>0</w:t>
      </w:r>
      <w:r w:rsidR="00021F98" w:rsidRPr="000253E5">
        <w:rPr>
          <w:rFonts w:ascii="Palatino Linotype" w:hAnsi="Palatino Linotype" w:cs="Tahoma"/>
          <w:b/>
        </w:rPr>
        <w:t>3728</w:t>
      </w:r>
      <w:r w:rsidR="00A742D1" w:rsidRPr="000253E5">
        <w:rPr>
          <w:rFonts w:ascii="Palatino Linotype" w:hAnsi="Palatino Linotype" w:cs="Tahoma"/>
          <w:b/>
        </w:rPr>
        <w:t>/INFOEM/IP/RR/</w:t>
      </w:r>
      <w:r w:rsidR="00104333" w:rsidRPr="000253E5">
        <w:rPr>
          <w:rFonts w:ascii="Palatino Linotype" w:hAnsi="Palatino Linotype" w:cs="Tahoma"/>
          <w:b/>
        </w:rPr>
        <w:t>2018</w:t>
      </w:r>
      <w:r w:rsidR="00104333" w:rsidRPr="000253E5">
        <w:rPr>
          <w:rFonts w:ascii="Palatino Linotype" w:hAnsi="Palatino Linotype" w:cs="Tahoma"/>
        </w:rPr>
        <w:t>.</w:t>
      </w:r>
    </w:p>
    <w:p w:rsidR="009E0861" w:rsidRPr="000253E5" w:rsidRDefault="009E0861" w:rsidP="00A462CB">
      <w:pPr>
        <w:spacing w:after="0" w:line="276" w:lineRule="auto"/>
        <w:jc w:val="both"/>
        <w:rPr>
          <w:rFonts w:ascii="Palatino Linotype" w:hAnsi="Palatino Linotype" w:cs="Tahoma"/>
        </w:rPr>
      </w:pPr>
    </w:p>
    <w:p w:rsidR="00021F98" w:rsidRPr="000253E5" w:rsidRDefault="00021F98" w:rsidP="00A462CB">
      <w:pPr>
        <w:spacing w:after="0" w:line="276" w:lineRule="auto"/>
        <w:jc w:val="both"/>
        <w:rPr>
          <w:rFonts w:ascii="Palatino Linotype" w:hAnsi="Palatino Linotype" w:cs="Tahoma"/>
        </w:rPr>
      </w:pPr>
      <w:r w:rsidRPr="000253E5">
        <w:rPr>
          <w:rFonts w:ascii="Palatino Linotype" w:hAnsi="Palatino Linotype" w:cs="Tahoma"/>
        </w:rPr>
        <w:t>Como se desprende de la resolución de marras, el Particular presentó una solicitud de acceso a la información pública, mediante la cual requirió conocer las acciones realizadas por el actual Presidente Municipal en materia de reordenamiento vial y comercio ambulante en la cabecera municipal, así como los documentos que demuestren las acciones efectuadas para la mejora de servicios de transporte público y mercado.</w:t>
      </w:r>
    </w:p>
    <w:p w:rsidR="00021F98" w:rsidRPr="000253E5" w:rsidRDefault="00021F98" w:rsidP="00A462CB">
      <w:pPr>
        <w:spacing w:after="0" w:line="276" w:lineRule="auto"/>
        <w:jc w:val="both"/>
        <w:rPr>
          <w:rFonts w:ascii="Palatino Linotype" w:hAnsi="Palatino Linotype" w:cs="Tahoma"/>
        </w:rPr>
      </w:pPr>
    </w:p>
    <w:p w:rsidR="00021F98" w:rsidRPr="000253E5" w:rsidRDefault="00021F98" w:rsidP="00A462CB">
      <w:pPr>
        <w:spacing w:after="0" w:line="276" w:lineRule="auto"/>
        <w:jc w:val="both"/>
        <w:rPr>
          <w:rFonts w:ascii="Palatino Linotype" w:hAnsi="Palatino Linotype" w:cs="Tahoma"/>
        </w:rPr>
      </w:pPr>
      <w:r w:rsidRPr="000253E5">
        <w:rPr>
          <w:rFonts w:ascii="Palatino Linotype" w:hAnsi="Palatino Linotype" w:cs="Tahoma"/>
        </w:rPr>
        <w:t xml:space="preserve">En respuesta, el Ayuntamiento de Temoaya proporcionó </w:t>
      </w:r>
      <w:r w:rsidR="00F04E04">
        <w:rPr>
          <w:rFonts w:ascii="Palatino Linotype" w:hAnsi="Palatino Linotype" w:cs="Tahoma"/>
        </w:rPr>
        <w:t xml:space="preserve">vía el Sistema de Acceso a la Información Mexiquense (SAIMEX) </w:t>
      </w:r>
      <w:r w:rsidRPr="000253E5">
        <w:rPr>
          <w:rFonts w:ascii="Palatino Linotype" w:hAnsi="Palatino Linotype" w:cs="Tahoma"/>
        </w:rPr>
        <w:t>al Particular</w:t>
      </w:r>
      <w:r w:rsidR="00F04E04">
        <w:rPr>
          <w:rFonts w:ascii="Palatino Linotype" w:hAnsi="Palatino Linotype" w:cs="Tahoma"/>
        </w:rPr>
        <w:t>,</w:t>
      </w:r>
      <w:r w:rsidRPr="000253E5">
        <w:rPr>
          <w:rFonts w:ascii="Palatino Linotype" w:hAnsi="Palatino Linotype" w:cs="Tahoma"/>
        </w:rPr>
        <w:t xml:space="preserve"> diversos documentos y fotografías, con los que informa las acciones emprendidas en materia de transporte, </w:t>
      </w:r>
      <w:r w:rsidR="00577080" w:rsidRPr="000253E5">
        <w:rPr>
          <w:rFonts w:ascii="Palatino Linotype" w:hAnsi="Palatino Linotype" w:cs="Tahoma"/>
        </w:rPr>
        <w:t>política de movilidad, asambleas vecinales, ordenamiento vial y comercial.</w:t>
      </w:r>
    </w:p>
    <w:p w:rsidR="00577080" w:rsidRPr="000253E5" w:rsidRDefault="00577080" w:rsidP="00A462CB">
      <w:pPr>
        <w:spacing w:after="0" w:line="276" w:lineRule="auto"/>
        <w:jc w:val="both"/>
        <w:rPr>
          <w:rFonts w:ascii="Palatino Linotype" w:hAnsi="Palatino Linotype" w:cs="Tahoma"/>
        </w:rPr>
      </w:pPr>
    </w:p>
    <w:p w:rsidR="00577080" w:rsidRPr="000253E5" w:rsidRDefault="00577080" w:rsidP="00A462CB">
      <w:pPr>
        <w:spacing w:after="0" w:line="276" w:lineRule="auto"/>
        <w:jc w:val="both"/>
        <w:rPr>
          <w:rFonts w:ascii="Palatino Linotype" w:hAnsi="Palatino Linotype" w:cs="Tahoma"/>
        </w:rPr>
      </w:pPr>
      <w:r w:rsidRPr="000253E5">
        <w:rPr>
          <w:rFonts w:ascii="Palatino Linotype" w:hAnsi="Palatino Linotype" w:cs="Tahoma"/>
        </w:rPr>
        <w:t>Inconforme con la respuesta, el Particular presentó un recurso de revisión antes este Instituto, manifestando como queja</w:t>
      </w:r>
      <w:r w:rsidR="00F04E04">
        <w:rPr>
          <w:rFonts w:ascii="Palatino Linotype" w:hAnsi="Palatino Linotype" w:cs="Tahoma"/>
        </w:rPr>
        <w:t>,</w:t>
      </w:r>
      <w:r w:rsidRPr="000253E5">
        <w:rPr>
          <w:rFonts w:ascii="Palatino Linotype" w:hAnsi="Palatino Linotype" w:cs="Tahoma"/>
        </w:rPr>
        <w:t xml:space="preserve"> </w:t>
      </w:r>
      <w:r w:rsidRPr="00E115B8">
        <w:rPr>
          <w:rFonts w:ascii="Palatino Linotype" w:hAnsi="Palatino Linotype" w:cs="Tahoma"/>
          <w:b/>
        </w:rPr>
        <w:t>que el Sujeto Obligado pretendía cobrar la información y proporcionarla en versión pública en las instalaciones de la Unidad de Transparencia</w:t>
      </w:r>
      <w:r w:rsidRPr="000253E5">
        <w:rPr>
          <w:rFonts w:ascii="Palatino Linotype" w:hAnsi="Palatino Linotype" w:cs="Tahoma"/>
        </w:rPr>
        <w:t>, contrario a lo que establece la Ley de Transparencia y Acceso a la Información Pública del Estado de México y Municipios.</w:t>
      </w:r>
    </w:p>
    <w:p w:rsidR="00577080" w:rsidRPr="000253E5" w:rsidRDefault="00577080" w:rsidP="00A462CB">
      <w:pPr>
        <w:spacing w:after="0" w:line="276" w:lineRule="auto"/>
        <w:jc w:val="both"/>
        <w:rPr>
          <w:rFonts w:ascii="Palatino Linotype" w:hAnsi="Palatino Linotype" w:cs="Tahoma"/>
        </w:rPr>
      </w:pPr>
    </w:p>
    <w:p w:rsidR="00577080" w:rsidRPr="000253E5" w:rsidRDefault="00577080" w:rsidP="00A462CB">
      <w:pPr>
        <w:spacing w:after="0" w:line="276" w:lineRule="auto"/>
        <w:jc w:val="both"/>
        <w:rPr>
          <w:rFonts w:ascii="Palatino Linotype" w:hAnsi="Palatino Linotype" w:cs="Tahoma"/>
        </w:rPr>
      </w:pPr>
      <w:r w:rsidRPr="000253E5">
        <w:rPr>
          <w:rFonts w:ascii="Palatino Linotype" w:hAnsi="Palatino Linotype" w:cs="Tahoma"/>
        </w:rPr>
        <w:lastRenderedPageBreak/>
        <w:t>Ahora bien, de un análisis a las constancias que integran el expediente del recurso de revisión que nos ocupa, se advierte que el Sujeto Obligado nunca puso a disposición del Particular, documentos en versión pública en las instalaciones de la Unidad de Transparencia, menos aún exigió o refirió el cobro por costos de reproducción de la información.</w:t>
      </w:r>
    </w:p>
    <w:p w:rsidR="00577080" w:rsidRPr="000253E5" w:rsidRDefault="00577080" w:rsidP="00A462CB">
      <w:pPr>
        <w:spacing w:after="0" w:line="276" w:lineRule="auto"/>
        <w:jc w:val="both"/>
        <w:rPr>
          <w:rFonts w:ascii="Palatino Linotype" w:hAnsi="Palatino Linotype" w:cs="Tahoma"/>
        </w:rPr>
      </w:pPr>
    </w:p>
    <w:p w:rsidR="00577080" w:rsidRPr="000253E5" w:rsidRDefault="00F93684" w:rsidP="00A462CB">
      <w:pPr>
        <w:spacing w:after="0" w:line="276" w:lineRule="auto"/>
        <w:jc w:val="both"/>
        <w:rPr>
          <w:rFonts w:ascii="Palatino Linotype" w:hAnsi="Palatino Linotype" w:cs="Tahoma"/>
        </w:rPr>
      </w:pPr>
      <w:r w:rsidRPr="000253E5">
        <w:rPr>
          <w:rFonts w:ascii="Palatino Linotype" w:hAnsi="Palatino Linotype" w:cs="Tahoma"/>
        </w:rPr>
        <w:t xml:space="preserve">Lo anterior se robustece con lo manifestado en el Tercer Considerando de la resolución de mérito, </w:t>
      </w:r>
      <w:r w:rsidR="00BE5684" w:rsidRPr="000253E5">
        <w:rPr>
          <w:rFonts w:ascii="Palatino Linotype" w:hAnsi="Palatino Linotype" w:cs="Tahoma"/>
        </w:rPr>
        <w:t>pues de manera implícita se refiere que el agravio del Particular no se encuentra en relación con la respuesta otorgada por el Sujeto Obligado; lo que conduce a que, en el mismo Considerando, la Ponencia Resolutora, con base en un análisis efectuado</w:t>
      </w:r>
      <w:r w:rsidR="001C7C6D" w:rsidRPr="000253E5">
        <w:rPr>
          <w:rFonts w:ascii="Palatino Linotype" w:hAnsi="Palatino Linotype" w:cs="Tahoma"/>
        </w:rPr>
        <w:t xml:space="preserve"> a la respuesta, determin</w:t>
      </w:r>
      <w:r w:rsidR="00396587">
        <w:rPr>
          <w:rFonts w:ascii="Palatino Linotype" w:hAnsi="Palatino Linotype" w:cs="Tahoma"/>
        </w:rPr>
        <w:t>ara</w:t>
      </w:r>
      <w:r w:rsidR="00BE5684" w:rsidRPr="000253E5">
        <w:rPr>
          <w:rFonts w:ascii="Palatino Linotype" w:hAnsi="Palatino Linotype" w:cs="Tahoma"/>
        </w:rPr>
        <w:t xml:space="preserve"> </w:t>
      </w:r>
      <w:r w:rsidR="00396587">
        <w:rPr>
          <w:rFonts w:ascii="Palatino Linotype" w:hAnsi="Palatino Linotype" w:cs="Tahoma"/>
        </w:rPr>
        <w:t>interpretar</w:t>
      </w:r>
      <w:r w:rsidR="00396587" w:rsidRPr="000253E5">
        <w:rPr>
          <w:rFonts w:ascii="Palatino Linotype" w:hAnsi="Palatino Linotype" w:cs="Tahoma"/>
        </w:rPr>
        <w:t xml:space="preserve"> </w:t>
      </w:r>
      <w:r w:rsidR="00BE5684" w:rsidRPr="000253E5">
        <w:rPr>
          <w:rFonts w:ascii="Palatino Linotype" w:hAnsi="Palatino Linotype" w:cs="Tahoma"/>
        </w:rPr>
        <w:t xml:space="preserve">los hechos expuestos por las partes, </w:t>
      </w:r>
      <w:r w:rsidR="00396587">
        <w:rPr>
          <w:rFonts w:ascii="Palatino Linotype" w:hAnsi="Palatino Linotype" w:cs="Tahoma"/>
        </w:rPr>
        <w:t xml:space="preserve">en el sentido de que </w:t>
      </w:r>
      <w:r w:rsidR="00BE5684" w:rsidRPr="000253E5">
        <w:rPr>
          <w:rFonts w:ascii="Palatino Linotype" w:hAnsi="Palatino Linotype" w:cs="Tahoma"/>
        </w:rPr>
        <w:t xml:space="preserve">el agravio </w:t>
      </w:r>
      <w:r w:rsidR="00396587">
        <w:rPr>
          <w:rFonts w:ascii="Palatino Linotype" w:hAnsi="Palatino Linotype" w:cs="Tahoma"/>
        </w:rPr>
        <w:t>que debía</w:t>
      </w:r>
      <w:r w:rsidR="00396587" w:rsidRPr="000253E5">
        <w:rPr>
          <w:rFonts w:ascii="Palatino Linotype" w:hAnsi="Palatino Linotype" w:cs="Tahoma"/>
        </w:rPr>
        <w:t xml:space="preserve"> </w:t>
      </w:r>
      <w:r w:rsidR="00BE5684" w:rsidRPr="000253E5">
        <w:rPr>
          <w:rFonts w:ascii="Palatino Linotype" w:hAnsi="Palatino Linotype" w:cs="Tahoma"/>
        </w:rPr>
        <w:t xml:space="preserve">analizarse en el presente asunto </w:t>
      </w:r>
      <w:r w:rsidR="001C7C6D" w:rsidRPr="000253E5">
        <w:rPr>
          <w:rFonts w:ascii="Palatino Linotype" w:hAnsi="Palatino Linotype" w:cs="Tahoma"/>
        </w:rPr>
        <w:t>sería</w:t>
      </w:r>
      <w:r w:rsidR="00BE5684" w:rsidRPr="000253E5">
        <w:rPr>
          <w:rFonts w:ascii="Palatino Linotype" w:hAnsi="Palatino Linotype" w:cs="Tahoma"/>
        </w:rPr>
        <w:t xml:space="preserve"> la respuesta incompleta.</w:t>
      </w:r>
    </w:p>
    <w:p w:rsidR="00021F98" w:rsidRPr="000253E5" w:rsidRDefault="00021F98" w:rsidP="00A462CB">
      <w:pPr>
        <w:spacing w:after="0" w:line="276" w:lineRule="auto"/>
        <w:jc w:val="both"/>
        <w:rPr>
          <w:rFonts w:ascii="Palatino Linotype" w:hAnsi="Palatino Linotype" w:cs="Tahoma"/>
        </w:rPr>
      </w:pPr>
    </w:p>
    <w:p w:rsidR="00021F98" w:rsidRPr="000253E5" w:rsidRDefault="001C7C6D" w:rsidP="00A462CB">
      <w:pPr>
        <w:spacing w:after="0" w:line="276" w:lineRule="auto"/>
        <w:jc w:val="both"/>
        <w:rPr>
          <w:rFonts w:ascii="Palatino Linotype" w:hAnsi="Palatino Linotype" w:cs="Tahoma"/>
        </w:rPr>
      </w:pPr>
      <w:r w:rsidRPr="000253E5">
        <w:rPr>
          <w:rFonts w:ascii="Palatino Linotype" w:hAnsi="Palatino Linotype" w:cs="Tahoma"/>
        </w:rPr>
        <w:t xml:space="preserve">Lo anterior </w:t>
      </w:r>
      <w:r w:rsidR="00396587">
        <w:rPr>
          <w:rFonts w:ascii="Palatino Linotype" w:hAnsi="Palatino Linotype" w:cs="Tahoma"/>
        </w:rPr>
        <w:t>es visible</w:t>
      </w:r>
      <w:r w:rsidRPr="000253E5">
        <w:rPr>
          <w:rFonts w:ascii="Palatino Linotype" w:hAnsi="Palatino Linotype" w:cs="Tahoma"/>
        </w:rPr>
        <w:t xml:space="preserve"> al inicio del Cuarto Considerando, momento en el que la Ponencia Resolutora </w:t>
      </w:r>
      <w:r w:rsidR="00396587">
        <w:rPr>
          <w:rFonts w:ascii="Palatino Linotype" w:hAnsi="Palatino Linotype" w:cs="Tahoma"/>
        </w:rPr>
        <w:t>precisa</w:t>
      </w:r>
      <w:r w:rsidRPr="000253E5">
        <w:rPr>
          <w:rFonts w:ascii="Palatino Linotype" w:hAnsi="Palatino Linotype" w:cs="Tahoma"/>
        </w:rPr>
        <w:t>:</w:t>
      </w:r>
    </w:p>
    <w:p w:rsidR="000253E5" w:rsidRPr="000253E5" w:rsidRDefault="000253E5" w:rsidP="00A462CB">
      <w:pPr>
        <w:spacing w:after="0" w:line="276" w:lineRule="auto"/>
        <w:jc w:val="both"/>
        <w:rPr>
          <w:rFonts w:ascii="Palatino Linotype" w:hAnsi="Palatino Linotype" w:cs="Tahoma"/>
        </w:rPr>
      </w:pPr>
    </w:p>
    <w:p w:rsidR="001C7C6D" w:rsidRPr="000253E5" w:rsidRDefault="001C7C6D" w:rsidP="000253E5">
      <w:pPr>
        <w:spacing w:after="0" w:line="276" w:lineRule="auto"/>
        <w:ind w:left="567" w:right="567"/>
        <w:jc w:val="both"/>
        <w:rPr>
          <w:rFonts w:ascii="Palatino Linotype" w:hAnsi="Palatino Linotype" w:cs="Tahoma"/>
          <w:lang w:val="es-ES_tradnl"/>
        </w:rPr>
      </w:pPr>
      <w:r w:rsidRPr="000253E5">
        <w:rPr>
          <w:rFonts w:ascii="Palatino Linotype" w:hAnsi="Palatino Linotype" w:cs="Tahoma"/>
          <w:lang w:val="es-ES_tradnl"/>
        </w:rPr>
        <w:t xml:space="preserve">…tal y como se aprecia, el </w:t>
      </w:r>
      <w:r w:rsidRPr="000253E5">
        <w:rPr>
          <w:rFonts w:ascii="Palatino Linotype" w:hAnsi="Palatino Linotype" w:cs="Tahoma"/>
          <w:b/>
          <w:lang w:val="es-ES_tradnl"/>
        </w:rPr>
        <w:t>RECURRENTE</w:t>
      </w:r>
      <w:r w:rsidRPr="000253E5">
        <w:rPr>
          <w:rFonts w:ascii="Palatino Linotype" w:hAnsi="Palatino Linotype" w:cs="Tahoma"/>
          <w:lang w:val="es-ES_tradnl"/>
        </w:rPr>
        <w:t xml:space="preserve"> al mom</w:t>
      </w:r>
      <w:r w:rsidR="00396587">
        <w:rPr>
          <w:rFonts w:ascii="Palatino Linotype" w:hAnsi="Palatino Linotype" w:cs="Tahoma"/>
          <w:lang w:val="es-ES_tradnl"/>
        </w:rPr>
        <w:t>en</w:t>
      </w:r>
      <w:r w:rsidRPr="000253E5">
        <w:rPr>
          <w:rFonts w:ascii="Palatino Linotype" w:hAnsi="Palatino Linotype" w:cs="Tahoma"/>
          <w:lang w:val="es-ES_tradnl"/>
        </w:rPr>
        <w:t xml:space="preserve">to de interponer el recurso de revisión no se inconformó por la respuesta que otorgó el </w:t>
      </w:r>
      <w:r w:rsidRPr="000253E5">
        <w:rPr>
          <w:rFonts w:ascii="Palatino Linotype" w:hAnsi="Palatino Linotype" w:cs="Tahoma"/>
          <w:b/>
          <w:lang w:val="es-ES_tradnl"/>
        </w:rPr>
        <w:t xml:space="preserve">SUJETO </w:t>
      </w:r>
      <w:r w:rsidRPr="000253E5">
        <w:rPr>
          <w:rFonts w:ascii="Palatino Linotype" w:hAnsi="Palatino Linotype" w:cs="Tahoma"/>
          <w:lang w:val="es-ES_tradnl"/>
        </w:rPr>
        <w:t xml:space="preserve">OBLIGADO. Sin embargo, bajo los principios rectores que rigen al Instituto de Transparencia, Acceso a la Información y Protección de Datos Personales del Estado de México y Municipios, como son </w:t>
      </w:r>
      <w:r w:rsidRPr="000253E5">
        <w:rPr>
          <w:rFonts w:ascii="Palatino Linotype" w:hAnsi="Palatino Linotype" w:cs="Tahoma"/>
          <w:b/>
          <w:lang w:val="es-ES_tradnl"/>
        </w:rPr>
        <w:t>eficacia, máxima publicidad y objetividad</w:t>
      </w:r>
      <w:r w:rsidRPr="000253E5">
        <w:rPr>
          <w:rFonts w:ascii="Palatino Linotype" w:hAnsi="Palatino Linotype" w:cs="Tahoma"/>
          <w:lang w:val="es-ES_tradnl"/>
        </w:rPr>
        <w:t xml:space="preserve">, se procederá a estudiar el fondo y competencia del asunto a fin de proporcionar la mayor protección al derecho de acceso a la información del particular, lo anterior como consecuencia de que éste Órgano Garante no debe suponer bajo ninguna circunstancia que el </w:t>
      </w:r>
      <w:r w:rsidRPr="000253E5">
        <w:rPr>
          <w:rFonts w:ascii="Palatino Linotype" w:hAnsi="Palatino Linotype" w:cs="Tahoma"/>
          <w:b/>
          <w:lang w:val="es-ES_tradnl"/>
        </w:rPr>
        <w:t>RECURRENTE</w:t>
      </w:r>
      <w:r w:rsidRPr="000253E5">
        <w:rPr>
          <w:rFonts w:ascii="Palatino Linotype" w:hAnsi="Palatino Linotype" w:cs="Tahoma"/>
          <w:lang w:val="es-ES_tradnl"/>
        </w:rPr>
        <w:t xml:space="preserve"> sea un experto en Derecho, mucho menos en la materia del Derecho de Acceso a la Información Pública, resultando en consideraciones por más sobradas para realizar un análisis a fondo en base de buscar si el </w:t>
      </w:r>
      <w:r w:rsidRPr="000253E5">
        <w:rPr>
          <w:rFonts w:ascii="Palatino Linotype" w:hAnsi="Palatino Linotype" w:cs="Tahoma"/>
          <w:b/>
          <w:lang w:val="es-ES_tradnl"/>
        </w:rPr>
        <w:t>SUJETO OBLIGADO</w:t>
      </w:r>
      <w:r w:rsidRPr="000253E5">
        <w:rPr>
          <w:rFonts w:ascii="Palatino Linotype" w:hAnsi="Palatino Linotype" w:cs="Tahoma"/>
          <w:lang w:val="es-ES_tradnl"/>
        </w:rPr>
        <w:t xml:space="preserve"> colmó la solicitud de información.</w:t>
      </w:r>
    </w:p>
    <w:p w:rsidR="001C7C6D" w:rsidRPr="000253E5" w:rsidRDefault="001C7C6D" w:rsidP="000253E5">
      <w:pPr>
        <w:spacing w:after="0" w:line="276" w:lineRule="auto"/>
        <w:ind w:left="567" w:right="567"/>
        <w:jc w:val="both"/>
        <w:rPr>
          <w:rFonts w:ascii="Palatino Linotype" w:hAnsi="Palatino Linotype" w:cs="Tahoma"/>
          <w:lang w:val="es-ES_tradnl"/>
        </w:rPr>
      </w:pPr>
    </w:p>
    <w:p w:rsidR="001C7C6D" w:rsidRPr="000253E5" w:rsidRDefault="001C7C6D" w:rsidP="000253E5">
      <w:pPr>
        <w:spacing w:after="0" w:line="276" w:lineRule="auto"/>
        <w:ind w:left="567" w:right="567"/>
        <w:jc w:val="both"/>
        <w:rPr>
          <w:rFonts w:ascii="Palatino Linotype" w:hAnsi="Palatino Linotype" w:cs="Tahoma"/>
          <w:lang w:val="es-ES_tradnl"/>
        </w:rPr>
      </w:pPr>
      <w:r w:rsidRPr="000253E5">
        <w:rPr>
          <w:rFonts w:ascii="Palatino Linotype" w:hAnsi="Palatino Linotype" w:cs="Tahoma"/>
          <w:lang w:val="es-ES_tradnl"/>
        </w:rPr>
        <w:t xml:space="preserve">Por ello, este Órgano Garante, atendiendo el contenido de los numerales 13 y 181 de la Ley de la Materia, procede a realizar la suplencia de la queja deficiente en favor del </w:t>
      </w:r>
      <w:r w:rsidRPr="000253E5">
        <w:rPr>
          <w:rFonts w:ascii="Palatino Linotype" w:hAnsi="Palatino Linotype" w:cs="Tahoma"/>
          <w:b/>
          <w:lang w:val="es-ES_tradnl"/>
        </w:rPr>
        <w:t>RECURRENTE</w:t>
      </w:r>
      <w:r w:rsidRPr="000253E5">
        <w:rPr>
          <w:rFonts w:ascii="Palatino Linotype" w:hAnsi="Palatino Linotype" w:cs="Tahoma"/>
          <w:lang w:val="es-ES_tradnl"/>
        </w:rPr>
        <w:t>.(Sic)</w:t>
      </w:r>
    </w:p>
    <w:p w:rsidR="00021F98" w:rsidRPr="000253E5" w:rsidRDefault="00021F98" w:rsidP="00A462CB">
      <w:pPr>
        <w:spacing w:after="0" w:line="276" w:lineRule="auto"/>
        <w:jc w:val="both"/>
        <w:rPr>
          <w:rFonts w:ascii="Palatino Linotype" w:hAnsi="Palatino Linotype" w:cs="Tahoma"/>
        </w:rPr>
      </w:pPr>
    </w:p>
    <w:p w:rsidR="000253E5" w:rsidRPr="000253E5" w:rsidRDefault="000253E5" w:rsidP="00A462CB">
      <w:pPr>
        <w:spacing w:after="0" w:line="276" w:lineRule="auto"/>
        <w:jc w:val="both"/>
        <w:rPr>
          <w:rFonts w:ascii="Palatino Linotype" w:hAnsi="Palatino Linotype" w:cs="Tahoma"/>
        </w:rPr>
      </w:pPr>
    </w:p>
    <w:p w:rsidR="00021F98" w:rsidRPr="000253E5" w:rsidRDefault="001C7C6D" w:rsidP="00A462CB">
      <w:pPr>
        <w:spacing w:after="0" w:line="276" w:lineRule="auto"/>
        <w:jc w:val="both"/>
        <w:rPr>
          <w:rFonts w:ascii="Palatino Linotype" w:hAnsi="Palatino Linotype" w:cs="Tahoma"/>
        </w:rPr>
      </w:pPr>
      <w:r w:rsidRPr="000253E5">
        <w:rPr>
          <w:rFonts w:ascii="Palatino Linotype" w:hAnsi="Palatino Linotype" w:cs="Tahoma"/>
        </w:rPr>
        <w:t xml:space="preserve">Sin embargo, desde la óptica de un servidor, </w:t>
      </w:r>
      <w:r w:rsidR="00396587">
        <w:rPr>
          <w:rFonts w:ascii="Palatino Linotype" w:hAnsi="Palatino Linotype" w:cs="Tahoma"/>
        </w:rPr>
        <w:t>el recurso de revisión no ameritaba suplir</w:t>
      </w:r>
      <w:r w:rsidRPr="000253E5">
        <w:rPr>
          <w:rFonts w:ascii="Palatino Linotype" w:hAnsi="Palatino Linotype" w:cs="Tahoma"/>
        </w:rPr>
        <w:t xml:space="preserve"> la deficiencia de la queja, </w:t>
      </w:r>
      <w:r w:rsidR="00396587">
        <w:rPr>
          <w:rFonts w:ascii="Palatino Linotype" w:hAnsi="Palatino Linotype" w:cs="Tahoma"/>
        </w:rPr>
        <w:t xml:space="preserve">ya que se advierte que se recurrió una solicitud diferente ala contenida en el expediente electrónico que nos ocupa; en efecto, </w:t>
      </w:r>
      <w:r w:rsidR="006D1775" w:rsidRPr="000253E5">
        <w:rPr>
          <w:rFonts w:ascii="Palatino Linotype" w:hAnsi="Palatino Linotype" w:cs="Tahoma"/>
        </w:rPr>
        <w:t xml:space="preserve">no </w:t>
      </w:r>
      <w:r w:rsidR="00396587" w:rsidRPr="000253E5">
        <w:rPr>
          <w:rFonts w:ascii="Palatino Linotype" w:hAnsi="Palatino Linotype" w:cs="Tahoma"/>
        </w:rPr>
        <w:t>exist</w:t>
      </w:r>
      <w:r w:rsidR="00396587">
        <w:rPr>
          <w:rFonts w:ascii="Palatino Linotype" w:hAnsi="Palatino Linotype" w:cs="Tahoma"/>
        </w:rPr>
        <w:t>e</w:t>
      </w:r>
      <w:r w:rsidR="00396587" w:rsidRPr="000253E5">
        <w:rPr>
          <w:rFonts w:ascii="Palatino Linotype" w:hAnsi="Palatino Linotype" w:cs="Tahoma"/>
        </w:rPr>
        <w:t xml:space="preserve"> </w:t>
      </w:r>
      <w:r w:rsidR="006D1775" w:rsidRPr="000253E5">
        <w:rPr>
          <w:rFonts w:ascii="Palatino Linotype" w:hAnsi="Palatino Linotype" w:cs="Tahoma"/>
        </w:rPr>
        <w:t>elemento mínimo alguno que permita dilucidar que la queja del recurrente estaba en función de la respuesta otorgada por el Sujeto Obligado</w:t>
      </w:r>
      <w:r w:rsidR="00396587">
        <w:rPr>
          <w:rFonts w:ascii="Palatino Linotype" w:hAnsi="Palatino Linotype" w:cs="Tahoma"/>
        </w:rPr>
        <w:t xml:space="preserve"> ya que en ningún punto es coincidente la respuesta con los agravios del recurrente</w:t>
      </w:r>
      <w:r w:rsidR="006D1775" w:rsidRPr="000253E5">
        <w:rPr>
          <w:rFonts w:ascii="Palatino Linotype" w:hAnsi="Palatino Linotype" w:cs="Tahoma"/>
        </w:rPr>
        <w:t>.</w:t>
      </w:r>
    </w:p>
    <w:p w:rsidR="006D1775" w:rsidRPr="000253E5" w:rsidRDefault="006D1775" w:rsidP="00A462CB">
      <w:pPr>
        <w:spacing w:after="0" w:line="276" w:lineRule="auto"/>
        <w:jc w:val="both"/>
        <w:rPr>
          <w:rFonts w:ascii="Palatino Linotype" w:hAnsi="Palatino Linotype" w:cs="Tahoma"/>
        </w:rPr>
      </w:pPr>
    </w:p>
    <w:p w:rsidR="006D1775" w:rsidRPr="000253E5" w:rsidRDefault="006D1775" w:rsidP="00A462CB">
      <w:pPr>
        <w:spacing w:after="0" w:line="276" w:lineRule="auto"/>
        <w:jc w:val="both"/>
        <w:rPr>
          <w:rFonts w:ascii="Palatino Linotype" w:hAnsi="Palatino Linotype" w:cs="Tahoma"/>
        </w:rPr>
      </w:pPr>
      <w:r w:rsidRPr="000253E5">
        <w:rPr>
          <w:rFonts w:ascii="Palatino Linotype" w:hAnsi="Palatino Linotype" w:cs="Tahoma"/>
        </w:rPr>
        <w:t xml:space="preserve">Cabe traer a colación el artículo 181, párrafo cuarto, de la Ley de Transparencia y Acceso a la Información Pública del Estado de México y Municipios, el cual señala que en la suplencia de la queja a favor del recurrente resulta indebido cambiar los hechos expuestos. Lo cual aconteció en el presente caso, pues el agravio expresado por el recurrente en su recurso de revisión fue </w:t>
      </w:r>
      <w:r w:rsidR="005321E1">
        <w:rPr>
          <w:rFonts w:ascii="Palatino Linotype" w:hAnsi="Palatino Linotype" w:cs="Tahoma"/>
        </w:rPr>
        <w:t xml:space="preserve">cambiado de un inicio que versaba sobre la modalidad de acceso </w:t>
      </w:r>
      <w:r w:rsidR="00213A1A">
        <w:rPr>
          <w:rFonts w:ascii="Palatino Linotype" w:hAnsi="Palatino Linotype" w:cs="Tahoma"/>
        </w:rPr>
        <w:t>en las oficinas de la Unidad de Transparencia y el cobro de la misma</w:t>
      </w:r>
      <w:r w:rsidR="005321E1">
        <w:rPr>
          <w:rFonts w:ascii="Palatino Linotype" w:hAnsi="Palatino Linotype" w:cs="Tahoma"/>
        </w:rPr>
        <w:t xml:space="preserve"> a entrega de información incompleta.</w:t>
      </w:r>
    </w:p>
    <w:p w:rsidR="00021F98" w:rsidRPr="000253E5" w:rsidRDefault="00021F98" w:rsidP="00A462CB">
      <w:pPr>
        <w:spacing w:after="0" w:line="276" w:lineRule="auto"/>
        <w:jc w:val="both"/>
        <w:rPr>
          <w:rFonts w:ascii="Palatino Linotype" w:hAnsi="Palatino Linotype" w:cs="Tahoma"/>
        </w:rPr>
      </w:pPr>
    </w:p>
    <w:p w:rsidR="00A96CE5" w:rsidRPr="000253E5" w:rsidRDefault="006D1775" w:rsidP="00A462CB">
      <w:pPr>
        <w:spacing w:after="0" w:line="276" w:lineRule="auto"/>
        <w:jc w:val="both"/>
        <w:rPr>
          <w:rFonts w:ascii="Palatino Linotype" w:hAnsi="Palatino Linotype" w:cs="Tahoma"/>
        </w:rPr>
      </w:pPr>
      <w:r w:rsidRPr="000253E5">
        <w:rPr>
          <w:rFonts w:ascii="Palatino Linotype" w:hAnsi="Palatino Linotype" w:cs="Tahoma"/>
        </w:rPr>
        <w:t>Así, con base en las consider</w:t>
      </w:r>
      <w:r w:rsidR="00D01247" w:rsidRPr="000253E5">
        <w:rPr>
          <w:rFonts w:ascii="Palatino Linotype" w:hAnsi="Palatino Linotype" w:cs="Tahoma"/>
        </w:rPr>
        <w:t>aciones expuestas, estimo que el</w:t>
      </w:r>
      <w:r w:rsidRPr="000253E5">
        <w:rPr>
          <w:rFonts w:ascii="Palatino Linotype" w:hAnsi="Palatino Linotype" w:cs="Tahoma"/>
        </w:rPr>
        <w:t xml:space="preserve"> agravio </w:t>
      </w:r>
      <w:r w:rsidR="000253E5" w:rsidRPr="000253E5">
        <w:rPr>
          <w:rFonts w:ascii="Palatino Linotype" w:hAnsi="Palatino Linotype" w:cs="Tahoma"/>
        </w:rPr>
        <w:t xml:space="preserve">manifestado por el recurrente </w:t>
      </w:r>
      <w:r w:rsidRPr="000253E5">
        <w:rPr>
          <w:rFonts w:ascii="Palatino Linotype" w:hAnsi="Palatino Linotype" w:cs="Tahoma"/>
        </w:rPr>
        <w:t>debi</w:t>
      </w:r>
      <w:r w:rsidR="00D01247" w:rsidRPr="000253E5">
        <w:rPr>
          <w:rFonts w:ascii="Palatino Linotype" w:hAnsi="Palatino Linotype" w:cs="Tahoma"/>
        </w:rPr>
        <w:t xml:space="preserve">ó declararse inatendible, pues la cusa de pedir, constituida por el razonamiento u omisión en que incurre el Sujeto Obligado que lesiona el derecho de acceso a la información y los motivos </w:t>
      </w:r>
      <w:r w:rsidR="000253E5" w:rsidRPr="000253E5">
        <w:rPr>
          <w:rFonts w:ascii="Palatino Linotype" w:hAnsi="Palatino Linotype" w:cs="Tahoma"/>
        </w:rPr>
        <w:t>que originan el agravio (siempre de acuerdo con los antecedentes del caso), no se encuentran en función de la respuesta otorgada por el Ayuntamiento de Temoaya, quien nunca solicitó el cobro por reproducción de información, ni requirió al particular para que asistiera a las instalaciones de la Unidad de Transparencia a recoger la información.</w:t>
      </w:r>
    </w:p>
    <w:p w:rsidR="000253E5" w:rsidRPr="000253E5" w:rsidRDefault="000253E5" w:rsidP="00A462CB">
      <w:pPr>
        <w:spacing w:after="0" w:line="276" w:lineRule="auto"/>
        <w:jc w:val="both"/>
        <w:rPr>
          <w:rFonts w:ascii="Palatino Linotype" w:hAnsi="Palatino Linotype" w:cs="Tahoma"/>
        </w:rPr>
      </w:pPr>
    </w:p>
    <w:p w:rsidR="009E0861" w:rsidRPr="000253E5" w:rsidRDefault="009E0861" w:rsidP="00A462CB">
      <w:pPr>
        <w:spacing w:after="0" w:line="276" w:lineRule="auto"/>
        <w:jc w:val="both"/>
        <w:rPr>
          <w:rFonts w:ascii="Palatino Linotype" w:hAnsi="Palatino Linotype" w:cs="Tahoma"/>
        </w:rPr>
      </w:pPr>
      <w:r w:rsidRPr="000253E5">
        <w:rPr>
          <w:rFonts w:ascii="Palatino Linotype" w:hAnsi="Palatino Linotype" w:cs="Tahoma"/>
        </w:rPr>
        <w:t xml:space="preserve">Así, con base en los razonamientos expuestos, </w:t>
      </w:r>
      <w:r w:rsidRPr="000253E5">
        <w:rPr>
          <w:rFonts w:ascii="Palatino Linotype" w:hAnsi="Palatino Linotype" w:cs="Tahoma"/>
          <w:b/>
        </w:rPr>
        <w:t>se emite el presente Voto Particular</w:t>
      </w:r>
      <w:r w:rsidRPr="000253E5">
        <w:rPr>
          <w:rFonts w:ascii="Palatino Linotype" w:hAnsi="Palatino Linotype" w:cs="Tahoma"/>
        </w:rPr>
        <w:t>.</w:t>
      </w:r>
    </w:p>
    <w:p w:rsidR="00553ADE" w:rsidRPr="000253E5" w:rsidRDefault="00553ADE" w:rsidP="00A462CB">
      <w:pPr>
        <w:spacing w:after="0" w:line="276" w:lineRule="auto"/>
        <w:jc w:val="center"/>
        <w:rPr>
          <w:rFonts w:ascii="Palatino Linotype" w:hAnsi="Palatino Linotype" w:cs="Tahoma"/>
        </w:rPr>
      </w:pPr>
    </w:p>
    <w:p w:rsidR="00553ADE" w:rsidRPr="000253E5" w:rsidRDefault="00A0224B" w:rsidP="00A0224B">
      <w:pPr>
        <w:spacing w:after="0" w:line="276" w:lineRule="auto"/>
        <w:jc w:val="center"/>
        <w:rPr>
          <w:rFonts w:ascii="Palatino Linotype" w:hAnsi="Palatino Linotype" w:cs="Tahoma"/>
          <w:b/>
        </w:rPr>
      </w:pPr>
      <w:r w:rsidRPr="000253E5">
        <w:rPr>
          <w:rFonts w:ascii="Palatino Linotype" w:hAnsi="Palatino Linotype" w:cs="Tahoma"/>
          <w:b/>
        </w:rPr>
        <w:t>(Rúbrica)</w:t>
      </w:r>
    </w:p>
    <w:p w:rsidR="00553ADE" w:rsidRPr="000253E5" w:rsidRDefault="00553ADE" w:rsidP="00A462CB">
      <w:pPr>
        <w:spacing w:after="0" w:line="276" w:lineRule="auto"/>
        <w:jc w:val="center"/>
        <w:rPr>
          <w:rFonts w:ascii="Palatino Linotype" w:hAnsi="Palatino Linotype" w:cs="Tahoma"/>
          <w:b/>
        </w:rPr>
      </w:pPr>
      <w:r w:rsidRPr="000253E5">
        <w:rPr>
          <w:rFonts w:ascii="Palatino Linotype" w:hAnsi="Palatino Linotype" w:cs="Tahoma"/>
          <w:b/>
        </w:rPr>
        <w:t>Luis Gustavo Parra Noriega</w:t>
      </w:r>
    </w:p>
    <w:p w:rsidR="003512C9" w:rsidRPr="000253E5" w:rsidRDefault="00553ADE" w:rsidP="00F44957">
      <w:pPr>
        <w:spacing w:after="0" w:line="276" w:lineRule="auto"/>
        <w:jc w:val="center"/>
        <w:rPr>
          <w:rFonts w:ascii="Palatino Linotype" w:hAnsi="Palatino Linotype" w:cs="Tahoma"/>
        </w:rPr>
      </w:pPr>
      <w:r w:rsidRPr="000253E5">
        <w:rPr>
          <w:rFonts w:ascii="Palatino Linotype" w:hAnsi="Palatino Linotype" w:cs="Tahoma"/>
        </w:rPr>
        <w:t>Comisionado</w:t>
      </w:r>
    </w:p>
    <w:sectPr w:rsidR="003512C9" w:rsidRPr="000253E5"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6D1" w:rsidRDefault="00E876D1" w:rsidP="00EE29F6">
      <w:pPr>
        <w:spacing w:after="0" w:line="240" w:lineRule="auto"/>
      </w:pPr>
      <w:r>
        <w:separator/>
      </w:r>
    </w:p>
  </w:endnote>
  <w:endnote w:type="continuationSeparator" w:id="0">
    <w:p w:rsidR="00E876D1" w:rsidRDefault="00E876D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115B8">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115B8">
              <w:rPr>
                <w:b/>
                <w:bCs/>
                <w:noProof/>
              </w:rPr>
              <w:t>3</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6D1" w:rsidRDefault="00E876D1" w:rsidP="00EE29F6">
      <w:pPr>
        <w:spacing w:after="0" w:line="240" w:lineRule="auto"/>
      </w:pPr>
      <w:r>
        <w:separator/>
      </w:r>
    </w:p>
  </w:footnote>
  <w:footnote w:type="continuationSeparator" w:id="0">
    <w:p w:rsidR="00E876D1" w:rsidRDefault="00E876D1"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5959"/>
    </w:tblGrid>
    <w:tr w:rsidR="00363357" w:rsidRPr="001106EA" w:rsidTr="00A074E7">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959" w:type="dxa"/>
          <w:vAlign w:val="center"/>
        </w:tcPr>
        <w:p w:rsidR="00363357" w:rsidRPr="001106EA" w:rsidRDefault="00363357" w:rsidP="001106EA">
          <w:pPr>
            <w:pStyle w:val="Encabezado"/>
            <w:ind w:left="-108" w:right="-250"/>
            <w:jc w:val="both"/>
            <w:rPr>
              <w:rFonts w:ascii="Tahoma" w:hAnsi="Tahoma" w:cs="Tahoma"/>
            </w:rPr>
          </w:pPr>
        </w:p>
        <w:p w:rsidR="00363357" w:rsidRPr="00085241" w:rsidRDefault="00363357" w:rsidP="001106EA">
          <w:pPr>
            <w:pStyle w:val="Encabezado"/>
            <w:ind w:left="-108" w:right="-250"/>
            <w:jc w:val="both"/>
            <w:rPr>
              <w:rFonts w:ascii="Palatino Linotype" w:hAnsi="Palatino Linotype" w:cs="Tahoma"/>
              <w:b/>
            </w:rPr>
          </w:pPr>
          <w:r w:rsidRPr="00085241">
            <w:rPr>
              <w:rFonts w:ascii="Palatino Linotype" w:hAnsi="Palatino Linotype" w:cs="Tahoma"/>
              <w:b/>
            </w:rPr>
            <w:t>Voto Particular</w:t>
          </w:r>
        </w:p>
        <w:p w:rsidR="00104333" w:rsidRPr="00085241" w:rsidRDefault="00021F98" w:rsidP="00104333">
          <w:pPr>
            <w:pStyle w:val="Encabezado"/>
            <w:ind w:left="-108" w:right="-250"/>
            <w:jc w:val="both"/>
            <w:rPr>
              <w:rFonts w:ascii="Palatino Linotype" w:hAnsi="Palatino Linotype" w:cs="Tahoma"/>
              <w:b/>
            </w:rPr>
          </w:pPr>
          <w:r>
            <w:rPr>
              <w:rFonts w:ascii="Palatino Linotype" w:hAnsi="Palatino Linotype" w:cs="Tahoma"/>
              <w:b/>
            </w:rPr>
            <w:t>Recurso de Revisión: 03728</w:t>
          </w:r>
          <w:r w:rsidR="00363357" w:rsidRPr="00085241">
            <w:rPr>
              <w:rFonts w:ascii="Palatino Linotype" w:hAnsi="Palatino Linotype" w:cs="Tahoma"/>
              <w:b/>
            </w:rPr>
            <w:t>/INFOEM/IP/RR/201</w:t>
          </w:r>
          <w:r w:rsidR="00104333" w:rsidRPr="00085241">
            <w:rPr>
              <w:rFonts w:ascii="Palatino Linotype" w:hAnsi="Palatino Linotype" w:cs="Tahoma"/>
              <w:b/>
            </w:rPr>
            <w:t>8</w:t>
          </w:r>
        </w:p>
        <w:p w:rsidR="00DF2784" w:rsidRPr="00085241" w:rsidRDefault="00DF2784" w:rsidP="00104333">
          <w:pPr>
            <w:pStyle w:val="Encabezado"/>
            <w:ind w:left="-108" w:right="-250"/>
            <w:jc w:val="both"/>
            <w:rPr>
              <w:rFonts w:ascii="Palatino Linotype" w:hAnsi="Palatino Linotype" w:cs="Tahoma"/>
              <w:b/>
            </w:rPr>
          </w:pPr>
          <w:r w:rsidRPr="00085241">
            <w:rPr>
              <w:rFonts w:ascii="Palatino Linotype" w:hAnsi="Palatino Linotype" w:cs="Tahoma"/>
              <w:b/>
            </w:rPr>
            <w:t xml:space="preserve">Sujeto Obligado: </w:t>
          </w:r>
          <w:r w:rsidR="00021F98">
            <w:rPr>
              <w:rFonts w:ascii="Palatino Linotype" w:hAnsi="Palatino Linotype" w:cs="Tahoma"/>
              <w:b/>
            </w:rPr>
            <w:t>Ayuntamiento de Temoaya</w:t>
          </w:r>
        </w:p>
        <w:p w:rsidR="00363357" w:rsidRPr="001106EA" w:rsidRDefault="00363357" w:rsidP="00021F98">
          <w:pPr>
            <w:pStyle w:val="Encabezado"/>
            <w:ind w:left="-108" w:right="-250"/>
            <w:jc w:val="both"/>
            <w:rPr>
              <w:rFonts w:ascii="Tahoma" w:hAnsi="Tahoma" w:cs="Tahoma"/>
            </w:rPr>
          </w:pPr>
          <w:r w:rsidRPr="00085241">
            <w:rPr>
              <w:rFonts w:ascii="Palatino Linotype" w:hAnsi="Palatino Linotype" w:cs="Tahoma"/>
              <w:b/>
            </w:rPr>
            <w:t xml:space="preserve">Comisionada Ponente: </w:t>
          </w:r>
          <w:r w:rsidR="00021F98">
            <w:rPr>
              <w:rFonts w:ascii="Palatino Linotype" w:hAnsi="Palatino Linotype" w:cs="Tahoma"/>
              <w:b/>
            </w:rPr>
            <w:t>José Guadalupe Luna Hernández</w:t>
          </w:r>
          <w:r w:rsidR="00792848">
            <w:rPr>
              <w:rFonts w:ascii="Palatino Linotype" w:hAnsi="Palatino Linotype" w:cs="Tahoma"/>
              <w:b/>
            </w:rPr>
            <w:t xml:space="preserve"> </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2"/>
  </w:num>
  <w:num w:numId="6">
    <w:abstractNumId w:val="3"/>
  </w:num>
  <w:num w:numId="7">
    <w:abstractNumId w:val="9"/>
  </w:num>
  <w:num w:numId="8">
    <w:abstractNumId w:val="16"/>
  </w:num>
  <w:num w:numId="9">
    <w:abstractNumId w:val="13"/>
  </w:num>
  <w:num w:numId="10">
    <w:abstractNumId w:val="14"/>
  </w:num>
  <w:num w:numId="11">
    <w:abstractNumId w:val="15"/>
  </w:num>
  <w:num w:numId="12">
    <w:abstractNumId w:val="1"/>
  </w:num>
  <w:num w:numId="13">
    <w:abstractNumId w:val="8"/>
  </w:num>
  <w:num w:numId="14">
    <w:abstractNumId w:val="17"/>
  </w:num>
  <w:num w:numId="15">
    <w:abstractNumId w:val="6"/>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1F98"/>
    <w:rsid w:val="00023B3D"/>
    <w:rsid w:val="0002483E"/>
    <w:rsid w:val="000253E5"/>
    <w:rsid w:val="0002627D"/>
    <w:rsid w:val="0002759D"/>
    <w:rsid w:val="000301C6"/>
    <w:rsid w:val="000466A3"/>
    <w:rsid w:val="00056BD3"/>
    <w:rsid w:val="00060F74"/>
    <w:rsid w:val="0006561A"/>
    <w:rsid w:val="00085241"/>
    <w:rsid w:val="0008691F"/>
    <w:rsid w:val="00087AC8"/>
    <w:rsid w:val="0009277A"/>
    <w:rsid w:val="00097988"/>
    <w:rsid w:val="00097A79"/>
    <w:rsid w:val="000B235B"/>
    <w:rsid w:val="000B61DD"/>
    <w:rsid w:val="000B7F6F"/>
    <w:rsid w:val="000C10B7"/>
    <w:rsid w:val="000C6052"/>
    <w:rsid w:val="000D186F"/>
    <w:rsid w:val="000E64B7"/>
    <w:rsid w:val="000F1CD2"/>
    <w:rsid w:val="00104333"/>
    <w:rsid w:val="0010688C"/>
    <w:rsid w:val="001106EA"/>
    <w:rsid w:val="001159DC"/>
    <w:rsid w:val="00116E1A"/>
    <w:rsid w:val="00136AD8"/>
    <w:rsid w:val="0014038B"/>
    <w:rsid w:val="00140A57"/>
    <w:rsid w:val="0014736A"/>
    <w:rsid w:val="00161815"/>
    <w:rsid w:val="00162325"/>
    <w:rsid w:val="00164625"/>
    <w:rsid w:val="00164BFE"/>
    <w:rsid w:val="0018472D"/>
    <w:rsid w:val="00193AA8"/>
    <w:rsid w:val="00197A72"/>
    <w:rsid w:val="001A145C"/>
    <w:rsid w:val="001A6BD9"/>
    <w:rsid w:val="001C1C64"/>
    <w:rsid w:val="001C363A"/>
    <w:rsid w:val="001C7C6D"/>
    <w:rsid w:val="0020052A"/>
    <w:rsid w:val="00213A1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4A9A"/>
    <w:rsid w:val="002E5A1A"/>
    <w:rsid w:val="00333B7A"/>
    <w:rsid w:val="00344DD1"/>
    <w:rsid w:val="003512C9"/>
    <w:rsid w:val="00363357"/>
    <w:rsid w:val="00390188"/>
    <w:rsid w:val="00396587"/>
    <w:rsid w:val="003973A2"/>
    <w:rsid w:val="003A6218"/>
    <w:rsid w:val="003B5F3A"/>
    <w:rsid w:val="003B6547"/>
    <w:rsid w:val="003B7A5E"/>
    <w:rsid w:val="003C374F"/>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E4CA3"/>
    <w:rsid w:val="004E7007"/>
    <w:rsid w:val="004F0B86"/>
    <w:rsid w:val="00511E06"/>
    <w:rsid w:val="0052260F"/>
    <w:rsid w:val="00524DA5"/>
    <w:rsid w:val="00526DBD"/>
    <w:rsid w:val="005321E1"/>
    <w:rsid w:val="00543DF4"/>
    <w:rsid w:val="00544812"/>
    <w:rsid w:val="00544978"/>
    <w:rsid w:val="00550AA5"/>
    <w:rsid w:val="00553ADE"/>
    <w:rsid w:val="0056120D"/>
    <w:rsid w:val="0056175F"/>
    <w:rsid w:val="00577080"/>
    <w:rsid w:val="00582CCB"/>
    <w:rsid w:val="00584D73"/>
    <w:rsid w:val="0059329D"/>
    <w:rsid w:val="005A2510"/>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D1775"/>
    <w:rsid w:val="006F5316"/>
    <w:rsid w:val="007071CF"/>
    <w:rsid w:val="00722FE9"/>
    <w:rsid w:val="00724F08"/>
    <w:rsid w:val="007378E2"/>
    <w:rsid w:val="00742A15"/>
    <w:rsid w:val="0077694E"/>
    <w:rsid w:val="00781082"/>
    <w:rsid w:val="007849A1"/>
    <w:rsid w:val="00792848"/>
    <w:rsid w:val="007A1071"/>
    <w:rsid w:val="007A2D13"/>
    <w:rsid w:val="007D3257"/>
    <w:rsid w:val="007D5554"/>
    <w:rsid w:val="007E3F77"/>
    <w:rsid w:val="007F1C1D"/>
    <w:rsid w:val="007F41BF"/>
    <w:rsid w:val="007F7D80"/>
    <w:rsid w:val="00802879"/>
    <w:rsid w:val="00836BC2"/>
    <w:rsid w:val="00861757"/>
    <w:rsid w:val="008629DC"/>
    <w:rsid w:val="00874170"/>
    <w:rsid w:val="00884A10"/>
    <w:rsid w:val="00891412"/>
    <w:rsid w:val="008933AC"/>
    <w:rsid w:val="0089469D"/>
    <w:rsid w:val="008A0447"/>
    <w:rsid w:val="008A1DE1"/>
    <w:rsid w:val="008A3DA9"/>
    <w:rsid w:val="008B08C9"/>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3790"/>
    <w:rsid w:val="009943E1"/>
    <w:rsid w:val="009B22ED"/>
    <w:rsid w:val="009B2C0B"/>
    <w:rsid w:val="009C0313"/>
    <w:rsid w:val="009D07E2"/>
    <w:rsid w:val="009D49BE"/>
    <w:rsid w:val="009E0861"/>
    <w:rsid w:val="009E41F7"/>
    <w:rsid w:val="00A0224B"/>
    <w:rsid w:val="00A074E7"/>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333A"/>
    <w:rsid w:val="00AD25D5"/>
    <w:rsid w:val="00AF3B6B"/>
    <w:rsid w:val="00B15570"/>
    <w:rsid w:val="00B2355E"/>
    <w:rsid w:val="00B263C5"/>
    <w:rsid w:val="00B27BBC"/>
    <w:rsid w:val="00B30925"/>
    <w:rsid w:val="00B67355"/>
    <w:rsid w:val="00B71740"/>
    <w:rsid w:val="00B73847"/>
    <w:rsid w:val="00B7393F"/>
    <w:rsid w:val="00B761B1"/>
    <w:rsid w:val="00B80C28"/>
    <w:rsid w:val="00BB6EE3"/>
    <w:rsid w:val="00BC4882"/>
    <w:rsid w:val="00BC55D2"/>
    <w:rsid w:val="00BD06FC"/>
    <w:rsid w:val="00BD4705"/>
    <w:rsid w:val="00BD5DBE"/>
    <w:rsid w:val="00BE5684"/>
    <w:rsid w:val="00BE678B"/>
    <w:rsid w:val="00BF1AC9"/>
    <w:rsid w:val="00C0033F"/>
    <w:rsid w:val="00C0131C"/>
    <w:rsid w:val="00C153EC"/>
    <w:rsid w:val="00C30FD6"/>
    <w:rsid w:val="00C31FEE"/>
    <w:rsid w:val="00C55FFC"/>
    <w:rsid w:val="00C75CE0"/>
    <w:rsid w:val="00C920D4"/>
    <w:rsid w:val="00CA7627"/>
    <w:rsid w:val="00CC68E1"/>
    <w:rsid w:val="00CD4339"/>
    <w:rsid w:val="00CD6D0D"/>
    <w:rsid w:val="00CD7611"/>
    <w:rsid w:val="00CE3CDC"/>
    <w:rsid w:val="00CE46B3"/>
    <w:rsid w:val="00CE50F9"/>
    <w:rsid w:val="00CF11EE"/>
    <w:rsid w:val="00CF1B14"/>
    <w:rsid w:val="00CF432B"/>
    <w:rsid w:val="00D01247"/>
    <w:rsid w:val="00D05740"/>
    <w:rsid w:val="00D11C52"/>
    <w:rsid w:val="00D13875"/>
    <w:rsid w:val="00D15D07"/>
    <w:rsid w:val="00D160F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15B8"/>
    <w:rsid w:val="00E145E1"/>
    <w:rsid w:val="00E26123"/>
    <w:rsid w:val="00E34559"/>
    <w:rsid w:val="00E41481"/>
    <w:rsid w:val="00E416F8"/>
    <w:rsid w:val="00E656C1"/>
    <w:rsid w:val="00E70B5D"/>
    <w:rsid w:val="00E750E2"/>
    <w:rsid w:val="00E80E84"/>
    <w:rsid w:val="00E82F77"/>
    <w:rsid w:val="00E83683"/>
    <w:rsid w:val="00E876D1"/>
    <w:rsid w:val="00E910F8"/>
    <w:rsid w:val="00EA7E26"/>
    <w:rsid w:val="00EB7128"/>
    <w:rsid w:val="00EE29F6"/>
    <w:rsid w:val="00F030F8"/>
    <w:rsid w:val="00F04E04"/>
    <w:rsid w:val="00F05A41"/>
    <w:rsid w:val="00F14384"/>
    <w:rsid w:val="00F359F6"/>
    <w:rsid w:val="00F44957"/>
    <w:rsid w:val="00F72D12"/>
    <w:rsid w:val="00F93684"/>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7EFD-FBB6-45B9-9D0F-70134F87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913</Words>
  <Characters>5022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cp:lastPrinted>2018-10-01T19:36:00Z</cp:lastPrinted>
  <dcterms:created xsi:type="dcterms:W3CDTF">2018-12-11T21:44:00Z</dcterms:created>
  <dcterms:modified xsi:type="dcterms:W3CDTF">2018-12-11T21:59:00Z</dcterms:modified>
</cp:coreProperties>
</file>